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129" w:rsidRPr="00861227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2129" w:rsidRPr="00861227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2129" w:rsidRPr="00861227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2129" w:rsidRPr="00861227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2129" w:rsidRPr="00861227" w:rsidRDefault="00A12129" w:rsidP="00A121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36C1F" w:rsidRPr="00861227" w:rsidRDefault="00636C1F" w:rsidP="00636C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12129" w:rsidRPr="00861227" w:rsidRDefault="00A12129" w:rsidP="00A121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D183D" w:rsidRPr="00861227" w:rsidRDefault="00AD183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D183D" w:rsidRPr="00861227" w:rsidRDefault="00AD183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D183D" w:rsidRPr="00861227" w:rsidRDefault="00AD183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61227">
        <w:rPr>
          <w:sz w:val="24"/>
        </w:rPr>
        <w:t xml:space="preserve">Название: псевдогипопаратиреоз и псевдогиперпаратиреоз. </w:t>
      </w:r>
    </w:p>
    <w:p w:rsidR="00D326A8" w:rsidRPr="00861227" w:rsidRDefault="00AD183D" w:rsidP="00D326A8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 w:rsidR="00D326A8" w:rsidRPr="00861227">
        <w:rPr>
          <w:rFonts w:ascii="Times New Roman" w:hAnsi="Times New Roman"/>
          <w:sz w:val="24"/>
          <w:szCs w:val="24"/>
        </w:rPr>
        <w:t>программе: 10.4</w:t>
      </w:r>
      <w:r w:rsidRPr="00861227">
        <w:rPr>
          <w:rFonts w:ascii="Times New Roman" w:hAnsi="Times New Roman"/>
          <w:sz w:val="24"/>
          <w:szCs w:val="24"/>
        </w:rPr>
        <w:t>.</w:t>
      </w:r>
    </w:p>
    <w:p w:rsidR="00D326A8" w:rsidRPr="00861227" w:rsidRDefault="00AD183D" w:rsidP="00D326A8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326A8" w:rsidRPr="00861227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861227">
        <w:rPr>
          <w:rFonts w:ascii="Times New Roman" w:hAnsi="Times New Roman"/>
          <w:sz w:val="24"/>
          <w:szCs w:val="24"/>
        </w:rPr>
        <w:t>«</w:t>
      </w:r>
      <w:r w:rsidR="00D326A8" w:rsidRPr="00861227">
        <w:rPr>
          <w:rFonts w:ascii="Times New Roman" w:hAnsi="Times New Roman"/>
          <w:sz w:val="24"/>
          <w:szCs w:val="24"/>
        </w:rPr>
        <w:t>Э</w:t>
      </w:r>
      <w:r w:rsidRPr="00861227">
        <w:rPr>
          <w:rFonts w:ascii="Times New Roman" w:hAnsi="Times New Roman"/>
          <w:sz w:val="24"/>
          <w:szCs w:val="24"/>
        </w:rPr>
        <w:t>ндокринология»</w:t>
      </w:r>
      <w:r w:rsidR="00D326A8" w:rsidRPr="00861227">
        <w:rPr>
          <w:rFonts w:ascii="Times New Roman" w:hAnsi="Times New Roman"/>
          <w:sz w:val="24"/>
          <w:szCs w:val="24"/>
        </w:rPr>
        <w:t>.</w:t>
      </w:r>
    </w:p>
    <w:p w:rsidR="00AD183D" w:rsidRPr="00861227" w:rsidRDefault="00AD183D" w:rsidP="00D326A8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D326A8" w:rsidRPr="00861227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D183D" w:rsidRPr="00861227" w:rsidRDefault="00AD183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AD183D" w:rsidRPr="00861227" w:rsidRDefault="00AD183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61227">
        <w:rPr>
          <w:sz w:val="24"/>
        </w:rPr>
        <w:t xml:space="preserve">Цель: рассмотреть и обсудить современные </w:t>
      </w:r>
      <w:r w:rsidR="00D326A8" w:rsidRPr="00861227">
        <w:rPr>
          <w:sz w:val="24"/>
        </w:rPr>
        <w:t>данные по псевдо</w:t>
      </w:r>
      <w:r w:rsidRPr="00861227">
        <w:rPr>
          <w:sz w:val="24"/>
        </w:rPr>
        <w:t>гипопаратиреозу и псевдогиперпаратиреозу.</w:t>
      </w:r>
    </w:p>
    <w:p w:rsidR="00D326A8" w:rsidRPr="00861227" w:rsidRDefault="00AD183D" w:rsidP="00D326A8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61227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861227">
        <w:rPr>
          <w:rFonts w:ascii="Times New Roman" w:hAnsi="Times New Roman"/>
          <w:sz w:val="24"/>
          <w:szCs w:val="24"/>
        </w:rPr>
        <w:t xml:space="preserve"> </w:t>
      </w:r>
      <w:r w:rsidRPr="00861227">
        <w:rPr>
          <w:rFonts w:ascii="Times New Roman" w:hAnsi="Times New Roman"/>
          <w:color w:val="000000"/>
          <w:spacing w:val="-2"/>
          <w:sz w:val="24"/>
          <w:szCs w:val="24"/>
        </w:rPr>
        <w:t xml:space="preserve">Этиология. </w:t>
      </w:r>
      <w:r w:rsidRPr="00861227">
        <w:rPr>
          <w:rFonts w:ascii="Times New Roman" w:hAnsi="Times New Roman"/>
          <w:color w:val="000000"/>
          <w:spacing w:val="-1"/>
          <w:sz w:val="24"/>
          <w:szCs w:val="24"/>
        </w:rPr>
        <w:t xml:space="preserve">Пссвдогипопаратиреоза. Псевдогиперпаратиреоза. Основные патогенетические особенности развития. Псевдогипопаратиреоза. Псевдогиперпаратиреоза. Клинические проявления. Псевдогипопаратиреоза. Псевдогиперпаратиреоза. </w:t>
      </w:r>
      <w:r w:rsidRPr="00861227">
        <w:rPr>
          <w:rFonts w:ascii="Times New Roman" w:hAnsi="Times New Roman"/>
          <w:color w:val="000000"/>
          <w:spacing w:val="-5"/>
          <w:sz w:val="24"/>
          <w:szCs w:val="24"/>
        </w:rPr>
        <w:t xml:space="preserve">Диагностика и дифференциальная диагностика. </w:t>
      </w:r>
      <w:r w:rsidRPr="00861227">
        <w:rPr>
          <w:rFonts w:ascii="Times New Roman" w:hAnsi="Times New Roman"/>
          <w:color w:val="000000"/>
          <w:spacing w:val="-1"/>
          <w:sz w:val="24"/>
          <w:szCs w:val="24"/>
        </w:rPr>
        <w:t>Медико-социальная экспертиза трудоспо</w:t>
      </w:r>
      <w:r w:rsidRPr="0086122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861227">
        <w:rPr>
          <w:rFonts w:ascii="Times New Roman" w:hAnsi="Times New Roman"/>
          <w:color w:val="000000"/>
          <w:sz w:val="24"/>
          <w:szCs w:val="24"/>
        </w:rPr>
        <w:t xml:space="preserve">собности и реабилитация. </w:t>
      </w:r>
      <w:r w:rsidRPr="00861227">
        <w:rPr>
          <w:rFonts w:ascii="Times New Roman" w:hAnsi="Times New Roman"/>
          <w:color w:val="000000"/>
          <w:spacing w:val="-1"/>
          <w:sz w:val="24"/>
          <w:szCs w:val="24"/>
        </w:rPr>
        <w:t xml:space="preserve">Лабораторные изменения. </w:t>
      </w:r>
      <w:r w:rsidR="00D326A8" w:rsidRPr="00861227">
        <w:rPr>
          <w:rFonts w:ascii="Times New Roman" w:hAnsi="Times New Roman"/>
          <w:color w:val="000000"/>
          <w:spacing w:val="-2"/>
          <w:sz w:val="24"/>
          <w:szCs w:val="24"/>
        </w:rPr>
        <w:t>Дифференциальная ди</w:t>
      </w:r>
      <w:r w:rsidRPr="00861227">
        <w:rPr>
          <w:rFonts w:ascii="Times New Roman" w:hAnsi="Times New Roman"/>
          <w:color w:val="000000"/>
          <w:spacing w:val="-2"/>
          <w:sz w:val="24"/>
          <w:szCs w:val="24"/>
        </w:rPr>
        <w:t xml:space="preserve">агностика. Лечение. </w:t>
      </w:r>
      <w:r w:rsidRPr="00861227">
        <w:rPr>
          <w:rFonts w:ascii="Times New Roman" w:hAnsi="Times New Roman"/>
          <w:color w:val="000000"/>
          <w:sz w:val="24"/>
          <w:szCs w:val="24"/>
        </w:rPr>
        <w:t xml:space="preserve">Псевдогипопаратиреоза. </w:t>
      </w:r>
      <w:r w:rsidRPr="00861227">
        <w:rPr>
          <w:rFonts w:ascii="Times New Roman" w:hAnsi="Times New Roman"/>
          <w:color w:val="000000"/>
          <w:spacing w:val="-10"/>
          <w:sz w:val="24"/>
          <w:szCs w:val="24"/>
        </w:rPr>
        <w:t xml:space="preserve">Псевдогиперпаратиреоза. </w:t>
      </w:r>
      <w:r w:rsidRPr="00861227">
        <w:rPr>
          <w:rFonts w:ascii="Times New Roman" w:hAnsi="Times New Roman"/>
          <w:color w:val="000000"/>
          <w:spacing w:val="-2"/>
          <w:sz w:val="24"/>
          <w:szCs w:val="24"/>
        </w:rPr>
        <w:t xml:space="preserve">Осложнений. </w:t>
      </w:r>
      <w:r w:rsidRPr="00861227">
        <w:rPr>
          <w:rFonts w:ascii="Times New Roman" w:hAnsi="Times New Roman"/>
          <w:color w:val="000000"/>
          <w:spacing w:val="-1"/>
          <w:sz w:val="24"/>
          <w:szCs w:val="24"/>
        </w:rPr>
        <w:t>Прогноз и диспансеризация. Зависимость прогноза от тяжести заболева</w:t>
      </w:r>
      <w:r w:rsidRPr="00861227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ния, объема хирургического вмешательства </w:t>
      </w:r>
      <w:r w:rsidRPr="00861227">
        <w:rPr>
          <w:rFonts w:ascii="Times New Roman" w:hAnsi="Times New Roman"/>
          <w:color w:val="000000"/>
          <w:sz w:val="24"/>
          <w:szCs w:val="24"/>
        </w:rPr>
        <w:t xml:space="preserve">и адекватности терапии. </w:t>
      </w:r>
      <w:r w:rsidRPr="00861227">
        <w:rPr>
          <w:rFonts w:ascii="Times New Roman" w:hAnsi="Times New Roman"/>
          <w:color w:val="000000"/>
          <w:spacing w:val="-1"/>
          <w:sz w:val="24"/>
          <w:szCs w:val="24"/>
        </w:rPr>
        <w:t>Морфологические критерии.</w:t>
      </w:r>
    </w:p>
    <w:p w:rsidR="00D326A8" w:rsidRPr="00861227" w:rsidRDefault="00AD183D" w:rsidP="00D326A8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6122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D326A8" w:rsidRPr="00861227">
        <w:rPr>
          <w:rFonts w:ascii="Times New Roman" w:hAnsi="Times New Roman"/>
          <w:color w:val="000000"/>
          <w:spacing w:val="-6"/>
          <w:sz w:val="24"/>
          <w:szCs w:val="24"/>
        </w:rPr>
        <w:t>псевдогипопаратиреоз и псевдогиперпаратиреоз.</w:t>
      </w:r>
    </w:p>
    <w:p w:rsidR="00D326A8" w:rsidRPr="00861227" w:rsidRDefault="00AD183D" w:rsidP="00D326A8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</w:t>
      </w:r>
      <w:r w:rsidR="00D326A8" w:rsidRPr="00861227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AD183D" w:rsidRPr="00861227" w:rsidRDefault="00AD183D" w:rsidP="00D326A8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D183D" w:rsidRPr="00861227" w:rsidRDefault="00AD183D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D183D" w:rsidRPr="00861227" w:rsidRDefault="00AD183D" w:rsidP="00DF5755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 Аметов  А.С.Избранные лекции по эндокринологии. – М.: ООО «МИА», 2009. – 496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lastRenderedPageBreak/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AD183D" w:rsidRPr="00861227" w:rsidRDefault="00AD183D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6122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61227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6122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61227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61227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61227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61227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61227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И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Дедова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61227">
        <w:rPr>
          <w:rFonts w:ascii="Times New Roman" w:hAnsi="Times New Roman"/>
          <w:color w:val="000000"/>
          <w:sz w:val="24"/>
          <w:szCs w:val="24"/>
        </w:rPr>
        <w:t>Г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А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61227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61227">
        <w:rPr>
          <w:rFonts w:ascii="Times New Roman" w:hAnsi="Times New Roman"/>
          <w:color w:val="000000"/>
          <w:sz w:val="24"/>
          <w:szCs w:val="24"/>
        </w:rPr>
        <w:t>Е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Н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Гринева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61227">
        <w:rPr>
          <w:rFonts w:ascii="Times New Roman" w:hAnsi="Times New Roman"/>
          <w:color w:val="000000"/>
          <w:sz w:val="24"/>
          <w:szCs w:val="24"/>
        </w:rPr>
        <w:t>Е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И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61227">
        <w:rPr>
          <w:rFonts w:ascii="Times New Roman" w:hAnsi="Times New Roman"/>
          <w:color w:val="000000"/>
          <w:sz w:val="24"/>
          <w:szCs w:val="24"/>
        </w:rPr>
        <w:t>Марова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861227">
        <w:rPr>
          <w:rFonts w:ascii="Times New Roman" w:hAnsi="Times New Roman"/>
          <w:color w:val="000000"/>
          <w:sz w:val="24"/>
          <w:szCs w:val="24"/>
        </w:rPr>
        <w:t>М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861227">
        <w:rPr>
          <w:rFonts w:ascii="Times New Roman" w:hAnsi="Times New Roman"/>
          <w:color w:val="000000"/>
          <w:sz w:val="24"/>
          <w:szCs w:val="24"/>
        </w:rPr>
        <w:t>Литтерра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61227">
        <w:rPr>
          <w:rFonts w:ascii="Times New Roman" w:hAnsi="Times New Roman"/>
          <w:color w:val="000000"/>
          <w:sz w:val="24"/>
          <w:szCs w:val="24"/>
        </w:rPr>
        <w:t>с</w:t>
      </w:r>
      <w:r w:rsidRPr="00861227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61227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6122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61227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861227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861227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61227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61227">
        <w:rPr>
          <w:rFonts w:ascii="Times New Roman" w:hAnsi="Times New Roman"/>
          <w:color w:val="000000"/>
          <w:sz w:val="24"/>
          <w:szCs w:val="24"/>
        </w:rPr>
        <w:br/>
      </w: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861227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СПб.: СпецЛит, 2011. – 432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86122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</w:t>
      </w:r>
      <w:r w:rsidRPr="00861227">
        <w:rPr>
          <w:rFonts w:ascii="Times New Roman" w:hAnsi="Times New Roman"/>
          <w:color w:val="000000"/>
          <w:sz w:val="24"/>
          <w:szCs w:val="24"/>
        </w:rPr>
        <w:lastRenderedPageBreak/>
        <w:t>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6122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86122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86122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6122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61227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61227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AD183D" w:rsidRPr="00861227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61227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AD183D" w:rsidRPr="00861227" w:rsidRDefault="00AD183D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183D" w:rsidRPr="00861227" w:rsidRDefault="00AD183D" w:rsidP="004B1172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D183D" w:rsidRPr="0086122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445" w:rsidRDefault="00287445" w:rsidP="006B3110">
      <w:pPr>
        <w:spacing w:after="0" w:line="240" w:lineRule="auto"/>
      </w:pPr>
      <w:r>
        <w:separator/>
      </w:r>
    </w:p>
  </w:endnote>
  <w:endnote w:type="continuationSeparator" w:id="0">
    <w:p w:rsidR="00287445" w:rsidRDefault="00287445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445" w:rsidRDefault="00287445" w:rsidP="006B3110">
      <w:pPr>
        <w:spacing w:after="0" w:line="240" w:lineRule="auto"/>
      </w:pPr>
      <w:r>
        <w:separator/>
      </w:r>
    </w:p>
  </w:footnote>
  <w:footnote w:type="continuationSeparator" w:id="0">
    <w:p w:rsidR="00287445" w:rsidRDefault="00287445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2FAC"/>
    <w:multiLevelType w:val="hybridMultilevel"/>
    <w:tmpl w:val="A1360BF6"/>
    <w:lvl w:ilvl="0" w:tplc="F440F64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B77ACA"/>
    <w:multiLevelType w:val="hybridMultilevel"/>
    <w:tmpl w:val="D6E0DE48"/>
    <w:lvl w:ilvl="0" w:tplc="F612B442">
      <w:start w:val="1"/>
      <w:numFmt w:val="decimal"/>
      <w:lvlText w:val="%1."/>
      <w:lvlJc w:val="left"/>
      <w:pPr>
        <w:ind w:left="1800" w:hanging="360"/>
      </w:pPr>
      <w:rPr>
        <w:rFonts w:ascii="Calibri" w:eastAsia="Times New Roman" w:hAnsi="Calibri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5A215D"/>
    <w:multiLevelType w:val="hybridMultilevel"/>
    <w:tmpl w:val="1EBA04FE"/>
    <w:lvl w:ilvl="0" w:tplc="CBA0429E">
      <w:start w:val="8"/>
      <w:numFmt w:val="decimal"/>
      <w:lvlText w:val="%1."/>
      <w:lvlJc w:val="left"/>
      <w:pPr>
        <w:ind w:left="18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5CCA72F6"/>
    <w:multiLevelType w:val="hybridMultilevel"/>
    <w:tmpl w:val="4BE88EF8"/>
    <w:lvl w:ilvl="0" w:tplc="39864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0C126AE"/>
    <w:multiLevelType w:val="hybridMultilevel"/>
    <w:tmpl w:val="53C8A28E"/>
    <w:lvl w:ilvl="0" w:tplc="93D4903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E5F55"/>
    <w:rsid w:val="00106FB0"/>
    <w:rsid w:val="00115763"/>
    <w:rsid w:val="00147046"/>
    <w:rsid w:val="002234FE"/>
    <w:rsid w:val="00287445"/>
    <w:rsid w:val="002B593B"/>
    <w:rsid w:val="002D0F77"/>
    <w:rsid w:val="002F32B6"/>
    <w:rsid w:val="00384FAE"/>
    <w:rsid w:val="00475020"/>
    <w:rsid w:val="004B1172"/>
    <w:rsid w:val="004E54B7"/>
    <w:rsid w:val="00523B04"/>
    <w:rsid w:val="005B54FE"/>
    <w:rsid w:val="005E6574"/>
    <w:rsid w:val="00615348"/>
    <w:rsid w:val="00625BF9"/>
    <w:rsid w:val="00636C1F"/>
    <w:rsid w:val="006B3110"/>
    <w:rsid w:val="00787F16"/>
    <w:rsid w:val="007A592A"/>
    <w:rsid w:val="007C7B0D"/>
    <w:rsid w:val="00844036"/>
    <w:rsid w:val="00861227"/>
    <w:rsid w:val="008F3363"/>
    <w:rsid w:val="009F026F"/>
    <w:rsid w:val="00A12129"/>
    <w:rsid w:val="00A561C6"/>
    <w:rsid w:val="00AD183D"/>
    <w:rsid w:val="00B15FDA"/>
    <w:rsid w:val="00B33AB7"/>
    <w:rsid w:val="00B3484B"/>
    <w:rsid w:val="00CD3515"/>
    <w:rsid w:val="00D326A8"/>
    <w:rsid w:val="00D63C2E"/>
    <w:rsid w:val="00D93300"/>
    <w:rsid w:val="00DC7985"/>
    <w:rsid w:val="00DF5755"/>
    <w:rsid w:val="00E25159"/>
    <w:rsid w:val="00E26201"/>
    <w:rsid w:val="00EB4E1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C26980-4035-4BE4-9AB1-A6C08A7D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9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2018-11-26T16:12:00Z</dcterms:created>
  <dcterms:modified xsi:type="dcterms:W3CDTF">2018-11-26T16:12:00Z</dcterms:modified>
</cp:coreProperties>
</file>